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9D" w:rsidRPr="00134C9D" w:rsidRDefault="00134C9D" w:rsidP="00134C9D">
      <w:pPr>
        <w:pStyle w:val="a3"/>
        <w:ind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-76835</wp:posOffset>
            </wp:positionV>
            <wp:extent cx="2352675" cy="3737610"/>
            <wp:effectExtent l="0" t="0" r="9525" b="0"/>
            <wp:wrapTight wrapText="bothSides">
              <wp:wrapPolygon edited="0">
                <wp:start x="0" y="0"/>
                <wp:lineTo x="0" y="21468"/>
                <wp:lineTo x="21513" y="21468"/>
                <wp:lineTo x="21513" y="0"/>
                <wp:lineTo x="0" y="0"/>
              </wp:wrapPolygon>
            </wp:wrapTight>
            <wp:docPr id="1" name="Рисунок 1" descr="http://900igr.net/up/datai/170291/0005-00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i/170291/0005-004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73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C9D">
        <w:rPr>
          <w:sz w:val="28"/>
          <w:szCs w:val="28"/>
        </w:rPr>
        <w:t xml:space="preserve">Балакирев </w:t>
      </w:r>
      <w:proofErr w:type="spellStart"/>
      <w:r w:rsidRPr="00134C9D">
        <w:rPr>
          <w:sz w:val="28"/>
          <w:szCs w:val="28"/>
        </w:rPr>
        <w:t>Милий</w:t>
      </w:r>
      <w:proofErr w:type="spellEnd"/>
      <w:r w:rsidRPr="00134C9D">
        <w:rPr>
          <w:sz w:val="28"/>
          <w:szCs w:val="28"/>
        </w:rPr>
        <w:t xml:space="preserve"> Алексеевич (1836/1837—1910), </w:t>
      </w:r>
      <w:r>
        <w:rPr>
          <w:sz w:val="28"/>
          <w:szCs w:val="28"/>
        </w:rPr>
        <w:t xml:space="preserve">русский </w:t>
      </w:r>
      <w:r w:rsidRPr="00134C9D">
        <w:rPr>
          <w:sz w:val="28"/>
          <w:szCs w:val="28"/>
        </w:rPr>
        <w:t xml:space="preserve">композитор. Родился 2 января 1837 г. (по новому стилю) в Нижнем Новгороде. Первой учительницей музыки стала для Балакирева его мать, которая занималась с сыном с четырёхлетнего возраста. Правда, образование Балакирев получил не музыкальное, окончив в 1854 г. математический факультет Казанского университета. Но музыку не оставлял, обучаясь самостоятельно, и с 15 лет начал выступать в концертах как пианист. На заре его музыкальной карьеры стоял А. Д. </w:t>
      </w:r>
      <w:proofErr w:type="spellStart"/>
      <w:r w:rsidRPr="00134C9D">
        <w:rPr>
          <w:sz w:val="28"/>
          <w:szCs w:val="28"/>
        </w:rPr>
        <w:t>Улыбышев</w:t>
      </w:r>
      <w:proofErr w:type="spellEnd"/>
      <w:r w:rsidRPr="00134C9D">
        <w:rPr>
          <w:sz w:val="28"/>
          <w:szCs w:val="28"/>
        </w:rPr>
        <w:t xml:space="preserve">, первый серьёзный исследователь творчества В. А. Моцарта. Вместе с ним в 1855 г. Балакирев приехал в Петербург, где познакомился с М. И. Глинкой. Вскоре вокруг Балакирева, </w:t>
      </w:r>
      <w:proofErr w:type="gramStart"/>
      <w:r w:rsidRPr="00134C9D">
        <w:rPr>
          <w:sz w:val="28"/>
          <w:szCs w:val="28"/>
        </w:rPr>
        <w:t>который</w:t>
      </w:r>
      <w:proofErr w:type="gramEnd"/>
      <w:r w:rsidRPr="00134C9D">
        <w:rPr>
          <w:sz w:val="28"/>
          <w:szCs w:val="28"/>
        </w:rPr>
        <w:t xml:space="preserve"> отличался не только музыкальной эрудицией, но и умением тонко и метко анализировать произведения, стали группироваться молодые талантливые музыканты. Этот кружок, окончательно сложившийся в 1862 г., был назван впоследствии «Могучая кучка». В объединение кроме Балакирева входили М. П. Мусоргский, Н. А. Римский-Корсаков, Ц. А. Кюи и А. П. Бородин.</w:t>
      </w:r>
    </w:p>
    <w:p w:rsidR="00134C9D" w:rsidRPr="00134C9D" w:rsidRDefault="00134C9D" w:rsidP="00134C9D">
      <w:pPr>
        <w:pStyle w:val="a3"/>
        <w:ind w:firstLine="567"/>
        <w:jc w:val="both"/>
        <w:rPr>
          <w:sz w:val="28"/>
          <w:szCs w:val="28"/>
        </w:rPr>
      </w:pPr>
      <w:r w:rsidRPr="00134C9D">
        <w:rPr>
          <w:sz w:val="28"/>
          <w:szCs w:val="28"/>
        </w:rPr>
        <w:t>Балакирев способствовал повышению уровня музыкального образования своих единомышленников. «Так как я не теоретик, я не мог научить Мусоргского гармонии, но я объяснял ему форму сочинения… технический склад произведений и его самого занимал разбором формы», — писал Балакирев в письме В. В. Стасову, одному из идеологов кружка. В 1862 г. в Петербурге была открыта Бесплатная музыкальная школа, любимое детище Балакирева. С 1868 г. он стал её директором. 50-—60-е годы XIX в. — пора расцвета композиторского таланта Балакирева. На открытие памятника Тысячелетию России в Новгороде он написал увертюру «1000 лет» (1864 г.; переработана в симфоническую поэму «Русь» в 1887 г.). В 1869 г. закончена фортепианная фантазия «</w:t>
      </w:r>
      <w:proofErr w:type="spellStart"/>
      <w:r w:rsidRPr="00134C9D">
        <w:rPr>
          <w:sz w:val="28"/>
          <w:szCs w:val="28"/>
        </w:rPr>
        <w:t>Исламей</w:t>
      </w:r>
      <w:proofErr w:type="spellEnd"/>
      <w:r w:rsidRPr="00134C9D">
        <w:rPr>
          <w:sz w:val="28"/>
          <w:szCs w:val="28"/>
        </w:rPr>
        <w:t xml:space="preserve">», ставшая любимым произведением Ф. Листа. Кроме того, Балакиревым написано более 40 романсов на стихи А. С. Пушкина, М. Ю. Лермонтова, А. В. Кольцова. Была даже попытка создать оперу «Жар-птица», но произведение осталось незаконченным. Тяжёлый душевный кризис, последовавший в 1874 г. после отказа от должности директора Бесплатной школы и связанный в основном с трудностями материального характера, привёл к тому, что Балакирев на несколько лет отошёл от всех музыкальных дел. В 1881 г. по просьбе совета школы он возвратился на должность директора, но так до конца и не оправился от душевных переживаний. Единственное значительное сочинение последнего периода — симфоническая поэма «Тамара» (1882 г.), созданная на сюжет Лермонтова. Тем не </w:t>
      </w:r>
      <w:proofErr w:type="gramStart"/>
      <w:r w:rsidRPr="00134C9D">
        <w:rPr>
          <w:sz w:val="28"/>
          <w:szCs w:val="28"/>
        </w:rPr>
        <w:t>менее</w:t>
      </w:r>
      <w:proofErr w:type="gramEnd"/>
      <w:r w:rsidRPr="00134C9D">
        <w:rPr>
          <w:sz w:val="28"/>
          <w:szCs w:val="28"/>
        </w:rPr>
        <w:t xml:space="preserve"> творческая и общественная деятельность Балакирева оказала огромное влияние на дальнейшее развитие русской музыки. Композитор умер 29 мая 1910 г. в Петербурге. </w:t>
      </w:r>
      <w:r w:rsidRPr="00134C9D">
        <w:rPr>
          <w:sz w:val="28"/>
          <w:szCs w:val="28"/>
        </w:rPr>
        <w:br/>
        <w:t xml:space="preserve">Источник: </w:t>
      </w:r>
      <w:hyperlink r:id="rId6" w:history="1">
        <w:r w:rsidRPr="00134C9D">
          <w:rPr>
            <w:rStyle w:val="a4"/>
            <w:sz w:val="28"/>
            <w:szCs w:val="28"/>
          </w:rPr>
          <w:t>https://citaty.su/balakirev-kratkaya-biografiya</w:t>
        </w:r>
      </w:hyperlink>
    </w:p>
    <w:p w:rsidR="00134C9D" w:rsidRDefault="00134C9D" w:rsidP="00134C9D">
      <w:pPr>
        <w:pStyle w:val="a3"/>
        <w:ind w:firstLine="567"/>
        <w:jc w:val="both"/>
        <w:rPr>
          <w:sz w:val="28"/>
          <w:szCs w:val="28"/>
        </w:rPr>
      </w:pPr>
    </w:p>
    <w:p w:rsidR="00134C9D" w:rsidRPr="00134C9D" w:rsidRDefault="00134C9D" w:rsidP="00134C9D">
      <w:pPr>
        <w:pStyle w:val="a3"/>
        <w:ind w:firstLine="567"/>
        <w:jc w:val="both"/>
        <w:rPr>
          <w:sz w:val="28"/>
          <w:szCs w:val="28"/>
        </w:rPr>
      </w:pPr>
      <w:r w:rsidRPr="00134C9D">
        <w:rPr>
          <w:sz w:val="28"/>
          <w:szCs w:val="28"/>
        </w:rPr>
        <w:lastRenderedPageBreak/>
        <w:t xml:space="preserve">Влияние </w:t>
      </w:r>
      <w:r>
        <w:rPr>
          <w:sz w:val="28"/>
          <w:szCs w:val="28"/>
        </w:rPr>
        <w:t>творчества Михаила Ивановича Глинки явственно выражено</w:t>
      </w:r>
      <w:r w:rsidRPr="00134C9D">
        <w:rPr>
          <w:sz w:val="28"/>
          <w:szCs w:val="28"/>
        </w:rPr>
        <w:t xml:space="preserve"> в симфоническом произведении Балакирева – Увертюре на темы трех русских песен. Идея этой оркестровой пьесы была непосредственно подсказана </w:t>
      </w:r>
      <w:proofErr w:type="spellStart"/>
      <w:r w:rsidRPr="00134C9D">
        <w:rPr>
          <w:sz w:val="28"/>
          <w:szCs w:val="28"/>
        </w:rPr>
        <w:t>глинкинской</w:t>
      </w:r>
      <w:proofErr w:type="spellEnd"/>
      <w:r w:rsidRPr="00134C9D">
        <w:rPr>
          <w:sz w:val="28"/>
          <w:szCs w:val="28"/>
        </w:rPr>
        <w:t xml:space="preserve"> "Камаринской". Во многом Балакирев пользуется </w:t>
      </w:r>
      <w:proofErr w:type="spellStart"/>
      <w:r w:rsidRPr="00134C9D">
        <w:rPr>
          <w:sz w:val="28"/>
          <w:szCs w:val="28"/>
        </w:rPr>
        <w:t>глинкинскими</w:t>
      </w:r>
      <w:proofErr w:type="spellEnd"/>
      <w:r w:rsidRPr="00134C9D">
        <w:rPr>
          <w:sz w:val="28"/>
          <w:szCs w:val="28"/>
        </w:rPr>
        <w:t xml:space="preserve"> приемами в разработке народных песенных мелодий. Но вместо формы двойных вариаций он избирает сонатную форму, соединяя ее с вариационным методом изложения и развития тематического материала. В основу сонатного </w:t>
      </w:r>
      <w:proofErr w:type="spellStart"/>
      <w:r w:rsidRPr="00134C9D">
        <w:rPr>
          <w:sz w:val="28"/>
          <w:szCs w:val="28"/>
        </w:rPr>
        <w:t>allegro</w:t>
      </w:r>
      <w:proofErr w:type="spellEnd"/>
      <w:r w:rsidRPr="00134C9D">
        <w:rPr>
          <w:sz w:val="28"/>
          <w:szCs w:val="28"/>
        </w:rPr>
        <w:t xml:space="preserve"> положены темы двух популярных в городском быту </w:t>
      </w:r>
      <w:r>
        <w:rPr>
          <w:sz w:val="28"/>
          <w:szCs w:val="28"/>
        </w:rPr>
        <w:t xml:space="preserve">народных </w:t>
      </w:r>
      <w:r w:rsidRPr="00134C9D">
        <w:rPr>
          <w:sz w:val="28"/>
          <w:szCs w:val="28"/>
        </w:rPr>
        <w:t>песен "Во поле береза стояла" и "</w:t>
      </w:r>
      <w:proofErr w:type="gramStart"/>
      <w:r w:rsidRPr="00134C9D">
        <w:rPr>
          <w:sz w:val="28"/>
          <w:szCs w:val="28"/>
        </w:rPr>
        <w:t>Во</w:t>
      </w:r>
      <w:proofErr w:type="gramEnd"/>
      <w:r w:rsidRPr="00134C9D">
        <w:rPr>
          <w:sz w:val="28"/>
          <w:szCs w:val="28"/>
        </w:rPr>
        <w:t xml:space="preserve"> пиру была". Эта центральная часть увертюры обрамляется медленным вступлением и заключением, для которых Балакирев воспользовался былинным запевом "Что не белая береза к земле клонится" </w:t>
      </w:r>
      <w:r>
        <w:rPr>
          <w:sz w:val="28"/>
          <w:szCs w:val="28"/>
        </w:rPr>
        <w:t xml:space="preserve">(«Про Добрыню») </w:t>
      </w:r>
      <w:r w:rsidRPr="00134C9D">
        <w:rPr>
          <w:sz w:val="28"/>
          <w:szCs w:val="28"/>
        </w:rPr>
        <w:t>из сборника М. А. Стаховича.</w:t>
      </w:r>
    </w:p>
    <w:p w:rsidR="00134C9D" w:rsidRPr="00134C9D" w:rsidRDefault="00134C9D" w:rsidP="00134C9D">
      <w:pPr>
        <w:pStyle w:val="a3"/>
        <w:ind w:firstLine="567"/>
        <w:jc w:val="both"/>
        <w:rPr>
          <w:sz w:val="28"/>
          <w:szCs w:val="28"/>
        </w:rPr>
      </w:pPr>
      <w:r w:rsidRPr="00134C9D">
        <w:rPr>
          <w:sz w:val="28"/>
          <w:szCs w:val="28"/>
        </w:rPr>
        <w:t xml:space="preserve">Обе темы </w:t>
      </w:r>
      <w:proofErr w:type="gramStart"/>
      <w:r w:rsidRPr="00134C9D">
        <w:rPr>
          <w:sz w:val="28"/>
          <w:szCs w:val="28"/>
        </w:rPr>
        <w:t>сонатного</w:t>
      </w:r>
      <w:proofErr w:type="gramEnd"/>
      <w:r w:rsidRPr="00134C9D">
        <w:rPr>
          <w:sz w:val="28"/>
          <w:szCs w:val="28"/>
        </w:rPr>
        <w:t xml:space="preserve"> </w:t>
      </w:r>
      <w:proofErr w:type="spellStart"/>
      <w:r w:rsidRPr="00134C9D">
        <w:rPr>
          <w:sz w:val="28"/>
          <w:szCs w:val="28"/>
        </w:rPr>
        <w:t>allegro</w:t>
      </w:r>
      <w:proofErr w:type="spellEnd"/>
      <w:r w:rsidRPr="00134C9D">
        <w:rPr>
          <w:sz w:val="28"/>
          <w:szCs w:val="28"/>
        </w:rPr>
        <w:t xml:space="preserve"> сходны по жанру и обладают одинаковым ритмическим строением: четыре </w:t>
      </w:r>
      <w:proofErr w:type="spellStart"/>
      <w:r w:rsidRPr="00134C9D">
        <w:rPr>
          <w:sz w:val="28"/>
          <w:szCs w:val="28"/>
        </w:rPr>
        <w:t>трехтакта</w:t>
      </w:r>
      <w:proofErr w:type="spellEnd"/>
      <w:r w:rsidRPr="00134C9D">
        <w:rPr>
          <w:sz w:val="28"/>
          <w:szCs w:val="28"/>
        </w:rPr>
        <w:t>, группируемые попарно. Это дает возможность легко сближать их, прибегать к контрапунктическому соединению, а также к сопоставлению отрезков одной темы с элементами другой в последовательном изложении. Ведущая роль принадлежит первой теме, подвергающейся на протяжении всего центрального раздела непрерывному вариантному преобразованию. Уже в экспозиции она дана в виде темы с четырьмя вариациями. Затем следует переход к побочной партии, тема которой проводится полностью всего два раза. Вторжение первой темы обозначает начало заключительной партии, построенной на сплетении обеих тем.</w:t>
      </w:r>
    </w:p>
    <w:p w:rsidR="00134C9D" w:rsidRPr="00134C9D" w:rsidRDefault="00134C9D" w:rsidP="00134C9D">
      <w:pPr>
        <w:pStyle w:val="a3"/>
        <w:ind w:firstLine="567"/>
        <w:jc w:val="both"/>
        <w:rPr>
          <w:sz w:val="28"/>
          <w:szCs w:val="28"/>
        </w:rPr>
      </w:pPr>
      <w:r w:rsidRPr="00134C9D">
        <w:rPr>
          <w:sz w:val="28"/>
          <w:szCs w:val="28"/>
        </w:rPr>
        <w:t>Процесс вариационного развития первой темы продолжается на протяжении дальнейших разделов сонатной формы, и в репризе она появляется сразу в значительно измененном виде. Тема побочной партии существенным изменениям не подвергается и сохраняет свои мелодические очертания во всех проведениях. Сравнительная их краткость позволяет рассматривать эту тему как второстепенную, дополняющую.</w:t>
      </w:r>
    </w:p>
    <w:p w:rsidR="00134C9D" w:rsidRPr="00134C9D" w:rsidRDefault="00134C9D" w:rsidP="00134C9D">
      <w:pPr>
        <w:pStyle w:val="a3"/>
        <w:ind w:firstLine="567"/>
        <w:jc w:val="both"/>
        <w:rPr>
          <w:sz w:val="28"/>
          <w:szCs w:val="28"/>
        </w:rPr>
      </w:pPr>
      <w:r w:rsidRPr="00134C9D">
        <w:rPr>
          <w:sz w:val="28"/>
          <w:szCs w:val="28"/>
        </w:rPr>
        <w:t xml:space="preserve">В изложении и варьировании тем Балакирев применяет ряд приемов, характерных для </w:t>
      </w:r>
      <w:proofErr w:type="gramStart"/>
      <w:r w:rsidRPr="00134C9D">
        <w:rPr>
          <w:sz w:val="28"/>
          <w:szCs w:val="28"/>
        </w:rPr>
        <w:t>народного</w:t>
      </w:r>
      <w:proofErr w:type="gramEnd"/>
      <w:r w:rsidRPr="00134C9D">
        <w:rPr>
          <w:sz w:val="28"/>
          <w:szCs w:val="28"/>
        </w:rPr>
        <w:t xml:space="preserve"> </w:t>
      </w:r>
      <w:proofErr w:type="spellStart"/>
      <w:r w:rsidRPr="00134C9D">
        <w:rPr>
          <w:sz w:val="28"/>
          <w:szCs w:val="28"/>
        </w:rPr>
        <w:t>музицирования</w:t>
      </w:r>
      <w:proofErr w:type="spellEnd"/>
      <w:r w:rsidRPr="00134C9D">
        <w:rPr>
          <w:sz w:val="28"/>
          <w:szCs w:val="28"/>
        </w:rPr>
        <w:t>. Так, уже первое проведение темы главной партии в звучании кларнета, часто используемого для имитации народного рожка, с квинтовыми басами струнных</w:t>
      </w:r>
      <w:r w:rsidRPr="00134C9D">
        <w:rPr>
          <w:sz w:val="28"/>
          <w:szCs w:val="28"/>
        </w:rPr>
        <w:t>, придает ей "сельский" колорит.</w:t>
      </w:r>
      <w:r>
        <w:rPr>
          <w:sz w:val="28"/>
          <w:szCs w:val="28"/>
        </w:rPr>
        <w:t xml:space="preserve"> </w:t>
      </w:r>
      <w:r w:rsidRPr="00134C9D">
        <w:rPr>
          <w:sz w:val="28"/>
          <w:szCs w:val="28"/>
        </w:rPr>
        <w:t>Поэтично звучащий былинный напев у флейты и кларнета на фоне "звенящей" октавы скрипок вызывает конкретные образные ассоциации: широкие, необозримые пространс</w:t>
      </w:r>
      <w:r w:rsidRPr="00134C9D">
        <w:rPr>
          <w:sz w:val="28"/>
          <w:szCs w:val="28"/>
        </w:rPr>
        <w:t>тва, поле в теплый летний день</w:t>
      </w:r>
      <w:r w:rsidRPr="00134C9D">
        <w:rPr>
          <w:sz w:val="28"/>
          <w:szCs w:val="28"/>
        </w:rPr>
        <w:t xml:space="preserve">. Всю увертюру можно себе представить как живую сценку народного гулянья и плясок среди типично русского пейзажа, нарисованную мягкими акварельными красками. Инструментовка увертюры </w:t>
      </w:r>
      <w:proofErr w:type="spellStart"/>
      <w:r w:rsidRPr="00134C9D">
        <w:rPr>
          <w:sz w:val="28"/>
          <w:szCs w:val="28"/>
        </w:rPr>
        <w:t>по-глинкински</w:t>
      </w:r>
      <w:proofErr w:type="spellEnd"/>
      <w:r w:rsidRPr="00134C9D">
        <w:rPr>
          <w:sz w:val="28"/>
          <w:szCs w:val="28"/>
        </w:rPr>
        <w:t xml:space="preserve"> легкая и прозрачная, преобладает звучание </w:t>
      </w:r>
      <w:proofErr w:type="gramStart"/>
      <w:r w:rsidRPr="00134C9D">
        <w:rPr>
          <w:sz w:val="28"/>
          <w:szCs w:val="28"/>
        </w:rPr>
        <w:t>деревянных</w:t>
      </w:r>
      <w:proofErr w:type="gramEnd"/>
      <w:r w:rsidRPr="00134C9D">
        <w:rPr>
          <w:sz w:val="28"/>
          <w:szCs w:val="28"/>
        </w:rPr>
        <w:t xml:space="preserve"> духовых и струнных, оркестр </w:t>
      </w:r>
      <w:proofErr w:type="spellStart"/>
      <w:r w:rsidRPr="00134C9D">
        <w:rPr>
          <w:sz w:val="28"/>
          <w:szCs w:val="28"/>
        </w:rPr>
        <w:t>tutti</w:t>
      </w:r>
      <w:proofErr w:type="spellEnd"/>
      <w:r w:rsidRPr="00134C9D">
        <w:rPr>
          <w:sz w:val="28"/>
          <w:szCs w:val="28"/>
        </w:rPr>
        <w:t xml:space="preserve"> вступает лишь эпизодически и на короткое время.</w:t>
      </w:r>
    </w:p>
    <w:p w:rsidR="008E71B4" w:rsidRPr="00134C9D" w:rsidRDefault="00134C9D" w:rsidP="00134C9D">
      <w:pPr>
        <w:pStyle w:val="a3"/>
        <w:ind w:firstLine="567"/>
        <w:jc w:val="both"/>
        <w:rPr>
          <w:sz w:val="28"/>
          <w:szCs w:val="28"/>
        </w:rPr>
      </w:pPr>
      <w:r w:rsidRPr="00134C9D">
        <w:rPr>
          <w:sz w:val="28"/>
          <w:szCs w:val="28"/>
        </w:rPr>
        <w:t xml:space="preserve">Увертюра на темы русских песен, впервые исполненная в университетском концерте 21 декабря 1858 года, стала одним из самых популярных произведений Балакирева и постоянно звучала с </w:t>
      </w:r>
      <w:proofErr w:type="spellStart"/>
      <w:r w:rsidRPr="00134C9D">
        <w:rPr>
          <w:sz w:val="28"/>
          <w:szCs w:val="28"/>
        </w:rPr>
        <w:t>концерной</w:t>
      </w:r>
      <w:proofErr w:type="spellEnd"/>
      <w:r w:rsidRPr="00134C9D">
        <w:rPr>
          <w:sz w:val="28"/>
          <w:szCs w:val="28"/>
        </w:rPr>
        <w:t xml:space="preserve"> эстрады. Она послужила образцом для произведений подобного рода у Римского-Корсакова, Глазунова и некоторых других композиторов.</w:t>
      </w:r>
      <w:bookmarkStart w:id="0" w:name="_GoBack"/>
      <w:bookmarkEnd w:id="0"/>
    </w:p>
    <w:sectPr w:rsidR="008E71B4" w:rsidRPr="00134C9D" w:rsidSect="00134C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9D"/>
    <w:rsid w:val="00134C9D"/>
    <w:rsid w:val="008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4C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4C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7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7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5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3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10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0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8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1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48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17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69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7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2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itaty.su/balakirev-kratkaya-biografiy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2020-04-22T11:07:00Z</dcterms:created>
  <dcterms:modified xsi:type="dcterms:W3CDTF">2020-04-22T11:18:00Z</dcterms:modified>
</cp:coreProperties>
</file>